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BD64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BD64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</w:t>
      </w:r>
      <w:proofErr w:type="gramStart"/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азработаны во исполнение контрольной точки 3.1.4.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</w:t>
      </w:r>
      <w:proofErr w:type="gramStart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м(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proofErr w:type="spellEnd"/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proofErr w:type="gramStart"/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1" w:name="_Toc2"/>
      <w:bookmarkStart w:id="2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</w:t>
      </w:r>
      <w:proofErr w:type="spell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местности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proofErr w:type="spellEnd"/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proofErr w:type="gramStart"/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</w:t>
      </w:r>
      <w:proofErr w:type="gramEnd"/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1"/>
    <w:bookmarkEnd w:id="2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862F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862FE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="00C166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C166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proofErr w:type="gramStart"/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обучающихся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proofErr w:type="spellEnd"/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ипрограммами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proofErr w:type="spellStart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аво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целях реализации мероприятий по созданию Центра (Центров) органами исполнительной власти субъекта Российской Федерации обеспечивается утверждение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</w:t>
      </w:r>
      <w:proofErr w:type="spellEnd"/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образования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</w:t>
      </w:r>
      <w:proofErr w:type="spellEnd"/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общеобразовательных </w:t>
      </w:r>
      <w:proofErr w:type="spellStart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proofErr w:type="gramStart"/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ключающий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функционированию </w:t>
      </w:r>
      <w:proofErr w:type="spellStart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Центров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proofErr w:type="spell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основании</w:t>
      </w:r>
      <w:proofErr w:type="gramEnd"/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spell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spell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медиаплан</w:t>
      </w:r>
      <w:proofErr w:type="spellEnd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создания </w:t>
      </w:r>
      <w:proofErr w:type="spellStart"/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Центров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proofErr w:type="spell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основании</w:t>
      </w:r>
      <w:proofErr w:type="gram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формы 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ндикативные </w:t>
      </w:r>
      <w:proofErr w:type="spellStart"/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proofErr w:type="spell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основании</w:t>
      </w:r>
      <w:proofErr w:type="gram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возложена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иповое Положение о </w:t>
      </w:r>
      <w:proofErr w:type="spellStart"/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Центре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</w:t>
      </w:r>
      <w:proofErr w:type="spell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 и задачи </w:t>
      </w:r>
      <w:proofErr w:type="spellStart"/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Центрав</w:t>
      </w:r>
      <w:proofErr w:type="spellEnd"/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proofErr w:type="spellStart"/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показателиэффективности</w:t>
      </w:r>
      <w:proofErr w:type="spell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proofErr w:type="spellStart"/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производится</w:t>
      </w:r>
      <w:proofErr w:type="spellEnd"/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</w:t>
      </w:r>
      <w:proofErr w:type="spellStart"/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акто</w:t>
      </w:r>
      <w:proofErr w:type="spellEnd"/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функции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социокультурных</w:t>
      </w:r>
      <w:proofErr w:type="spellEnd"/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дополнительных</w:t>
      </w:r>
      <w:proofErr w:type="spellEnd"/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программцифрового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proofErr w:type="spell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соответствующих</w:t>
      </w:r>
      <w:proofErr w:type="spellEnd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шахматного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</w:t>
      </w:r>
      <w:proofErr w:type="spellStart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социокультурного</w:t>
      </w:r>
      <w:proofErr w:type="spellEnd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брендированию</w:t>
      </w:r>
      <w:proofErr w:type="spellEnd"/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Зонирование помещений в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Центреосуществляется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должен</w:t>
      </w:r>
      <w:proofErr w:type="spellEnd"/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быть </w:t>
      </w:r>
      <w:proofErr w:type="gramStart"/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</w:t>
      </w:r>
      <w:proofErr w:type="gramEnd"/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proofErr w:type="spellStart"/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proofErr w:type="spellEnd"/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 xml:space="preserve">Оформление </w:t>
      </w:r>
      <w:proofErr w:type="spell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Центровдолжно</w:t>
      </w:r>
      <w:proofErr w:type="spell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spellStart"/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spellEnd"/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proofErr w:type="spellStart"/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примернымперечнем</w:t>
      </w:r>
      <w:proofErr w:type="spellEnd"/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количество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proofErr w:type="spellEnd"/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proofErr w:type="spellStart"/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кадровому</w:t>
      </w:r>
      <w:proofErr w:type="spellEnd"/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proofErr w:type="spellStart"/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ентраосуществляется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</w:t>
      </w:r>
      <w:proofErr w:type="spell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Минобрнауки</w:t>
      </w:r>
      <w:proofErr w:type="spellEnd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</w:t>
      </w:r>
      <w:proofErr w:type="gramStart"/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организации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етодическим </w:t>
      </w:r>
      <w:proofErr w:type="spell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</w:t>
      </w:r>
      <w:proofErr w:type="gramStart"/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proofErr w:type="gramEnd"/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исленность</w:t>
      </w:r>
      <w:proofErr w:type="spellEnd"/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деятельности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proofErr w:type="spellEnd"/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Центров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доводятся</w:t>
      </w:r>
      <w:proofErr w:type="spellEnd"/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proofErr w:type="spellStart"/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методических</w:t>
      </w:r>
      <w:proofErr w:type="spellEnd"/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spell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Центрсоздается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призван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обучающимися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дополнительных общеобразовательных программ цифрового, естественнонаучного, технического и гуманитарного </w:t>
      </w:r>
      <w:proofErr w:type="spell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профилей</w:t>
      </w:r>
      <w:proofErr w:type="gramStart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.И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рекомендациям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</w:t>
      </w:r>
      <w:proofErr w:type="spellEnd"/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Типового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Утверждение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медиаплана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типового </w:t>
            </w:r>
            <w:proofErr w:type="spellStart"/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дизайн-проекта</w:t>
            </w:r>
            <w:proofErr w:type="spellEnd"/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Обеспечение участия педагогов и сотрудников в повышении квалификации на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проектным офисом национального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0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*.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камень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совместимость со шлемом виртуальной реальности,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  <w:proofErr w:type="spellEnd"/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проекта и концепции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Центрадля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Июнь-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proofErr w:type="spellStart"/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вобразовательных</w:t>
            </w:r>
            <w:proofErr w:type="spellEnd"/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Базовый перечень показателей </w:t>
      </w:r>
      <w:proofErr w:type="spellStart"/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результативности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E86B0F">
              <w:rPr>
                <w:rStyle w:val="212pt"/>
                <w:sz w:val="28"/>
                <w:szCs w:val="28"/>
              </w:rPr>
              <w:t>п</w:t>
            </w:r>
            <w:proofErr w:type="spellEnd"/>
            <w:proofErr w:type="gramEnd"/>
            <w:r w:rsidRPr="00E86B0F">
              <w:rPr>
                <w:rStyle w:val="212pt"/>
                <w:sz w:val="28"/>
                <w:szCs w:val="28"/>
              </w:rPr>
              <w:t>/</w:t>
            </w:r>
            <w:proofErr w:type="spellStart"/>
            <w:r w:rsidRPr="00E86B0F">
              <w:rPr>
                <w:rStyle w:val="212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</w:t>
            </w:r>
            <w:proofErr w:type="gramStart"/>
            <w:r w:rsidRPr="00E86B0F">
              <w:t>в(</w:t>
            </w:r>
            <w:proofErr w:type="gramEnd"/>
            <w:r w:rsidRPr="00E86B0F">
              <w:t>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охваченных дополнительными </w:t>
            </w:r>
            <w:proofErr w:type="spellStart"/>
            <w:r w:rsidRPr="00E86B0F">
              <w:t>общеразвивающими</w:t>
            </w:r>
            <w:proofErr w:type="spellEnd"/>
            <w:r w:rsidRPr="00E86B0F">
              <w:t xml:space="preserve">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</w:t>
            </w:r>
            <w:proofErr w:type="gramStart"/>
            <w:r w:rsidRPr="00E86B0F">
              <w:t>в(</w:t>
            </w:r>
            <w:proofErr w:type="gramEnd"/>
            <w:r w:rsidRPr="00E86B0F">
              <w:t>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proofErr w:type="spellStart"/>
            <w:r w:rsidRPr="00E86B0F">
              <w:t>социокультурных</w:t>
            </w:r>
            <w:proofErr w:type="spellEnd"/>
            <w:r w:rsidRPr="00E86B0F">
              <w:t xml:space="preserve">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</w:t>
            </w:r>
            <w:proofErr w:type="spellEnd"/>
            <w:r w:rsidR="003A14D7" w:rsidRPr="00E86B0F">
              <w:rPr>
                <w:highlight w:val="lightGray"/>
              </w:rPr>
              <w:t>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E86B0F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B169A0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 xml:space="preserve">о </w:t>
      </w:r>
      <w:proofErr w:type="spellStart"/>
      <w:r w:rsidR="00B169A0" w:rsidRPr="00E86B0F">
        <w:rPr>
          <w:rFonts w:cs="Times New Roman"/>
          <w:sz w:val="28"/>
          <w:szCs w:val="28"/>
        </w:rPr>
        <w:t>Центреобразования</w:t>
      </w:r>
      <w:proofErr w:type="spellEnd"/>
      <w:r w:rsidR="00B169A0" w:rsidRPr="00E86B0F">
        <w:rPr>
          <w:rFonts w:cs="Times New Roman"/>
          <w:sz w:val="28"/>
          <w:szCs w:val="28"/>
        </w:rPr>
        <w:t xml:space="preserve">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proofErr w:type="gramStart"/>
      <w:r w:rsidR="00B169A0" w:rsidRPr="00E86B0F">
        <w:rPr>
          <w:rFonts w:cs="Times New Roman"/>
          <w:sz w:val="28"/>
          <w:szCs w:val="28"/>
        </w:rPr>
        <w:t>«Т</w:t>
      </w:r>
      <w:proofErr w:type="gramEnd"/>
      <w:r w:rsidR="00B169A0" w:rsidRPr="00E86B0F">
        <w:rPr>
          <w:rFonts w:cs="Times New Roman"/>
          <w:sz w:val="28"/>
          <w:szCs w:val="28"/>
        </w:rPr>
        <w:t>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3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3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8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3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5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Pr="00E86B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2" w:name="sub_326"/>
      <w:bookmarkEnd w:id="21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EE" w:rsidRDefault="009206EE" w:rsidP="00B31754">
      <w:pPr>
        <w:spacing w:line="240" w:lineRule="auto"/>
      </w:pPr>
      <w:r>
        <w:separator/>
      </w:r>
    </w:p>
  </w:endnote>
  <w:endnote w:type="continuationSeparator" w:id="1">
    <w:p w:rsidR="009206EE" w:rsidRDefault="009206EE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EE" w:rsidRDefault="009206EE" w:rsidP="00B31754">
      <w:pPr>
        <w:spacing w:line="240" w:lineRule="auto"/>
      </w:pPr>
      <w:r>
        <w:separator/>
      </w:r>
    </w:p>
  </w:footnote>
  <w:footnote w:type="continuationSeparator" w:id="1">
    <w:p w:rsidR="009206EE" w:rsidRDefault="009206EE" w:rsidP="00B31754">
      <w:pPr>
        <w:spacing w:line="240" w:lineRule="auto"/>
      </w:pPr>
      <w:r>
        <w:continuationSeparator/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4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5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2"/>
        </w:rPr>
        <w:t xml:space="preserve"> -общая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6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38" w:rsidRPr="0091533C" w:rsidRDefault="006000FF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BD6438">
      <w:rPr>
        <w:rFonts w:ascii="Times New Roman" w:hAnsi="Times New Roman" w:cs="Times New Roman"/>
        <w:noProof/>
        <w:sz w:val="28"/>
        <w:szCs w:val="28"/>
      </w:rPr>
      <w:t>2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976E8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00FF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17AA3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2FEE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438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16658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B0B5-F8F6-4714-8A5B-A6FE6FE7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7053</Words>
  <Characters>40204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Вишневская</dc:creator>
  <cp:lastModifiedBy>vanoker</cp:lastModifiedBy>
  <cp:revision>5</cp:revision>
  <cp:lastPrinted>2019-03-15T09:22:00Z</cp:lastPrinted>
  <dcterms:created xsi:type="dcterms:W3CDTF">2019-03-18T16:37:00Z</dcterms:created>
  <dcterms:modified xsi:type="dcterms:W3CDTF">2020-03-27T06:41:00Z</dcterms:modified>
</cp:coreProperties>
</file>